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06 апреля 2018</w:t>
      </w:r>
    </w:p>
    <w:p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об оспаривании кадастровой стоимости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11 апреля с 11.00 до 12.00 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пройдет прямая линия для граждан на тему оспаривания кадастровой стоимости недвижимости.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В каких случаях целесообразно оспаривать кадастровую стоимость?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В каких случаях можно обратиться за пересмотром кадастровой стоимости?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Куда обращаться за оспариванием кадастровой стоимости и какие документы потребуются?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В какие сроки рассматривается заявление об оспаривании кадастровой стоимости и где можно увидеть информацию о принятом решении?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На вопросы жителей Самарской области ответит начальник отдела кадастровой оценки недвижимости </w:t>
      </w:r>
      <w:r>
        <w:rPr>
          <w:rFonts w:ascii="Segoe UI" w:hAnsi="Segoe UI" w:cs="Segoe UI"/>
          <w:b/>
          <w:sz w:val="24"/>
          <w:szCs w:val="24"/>
        </w:rPr>
        <w:t>Иван Сергеевич Маслов</w:t>
      </w:r>
      <w:r>
        <w:rPr>
          <w:rFonts w:ascii="Segoe UI" w:hAnsi="Segoe UI" w:cs="Segoe UI"/>
          <w:sz w:val="24"/>
          <w:szCs w:val="24"/>
        </w:rPr>
        <w:t xml:space="preserve">. Звоните 11 апреля </w:t>
      </w:r>
      <w:r>
        <w:rPr>
          <w:rFonts w:ascii="Segoe UI" w:hAnsi="Segoe UI" w:cs="Segoe UI"/>
          <w:b/>
          <w:sz w:val="24"/>
          <w:szCs w:val="24"/>
        </w:rPr>
        <w:t>с 11 до 12 часов</w:t>
      </w:r>
      <w:r>
        <w:rPr>
          <w:rFonts w:ascii="Segoe UI" w:hAnsi="Segoe UI" w:cs="Segoe UI"/>
          <w:sz w:val="24"/>
          <w:szCs w:val="24"/>
        </w:rPr>
        <w:t xml:space="preserve"> по телефону (846) 33-22-555.</w:t>
      </w: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CB1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4F51A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ADF29-E4C1-4309-B6D3-79D320E2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2018-04-06T10:28:00Z</dcterms:created>
  <dcterms:modified xsi:type="dcterms:W3CDTF">2018-04-06T10:28:00Z</dcterms:modified>
</cp:coreProperties>
</file>